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6F" w:rsidRDefault="00EA48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OBRAZLOŽENJE PRORAČUNA</w:t>
      </w:r>
    </w:p>
    <w:p w:rsidR="00EA48AA" w:rsidRDefault="00577F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PRIHODI I PRIMICI</w:t>
      </w:r>
    </w:p>
    <w:p w:rsidR="00EA48AA" w:rsidRDefault="00EA48AA">
      <w:pPr>
        <w:rPr>
          <w:rFonts w:ascii="Arial" w:hAnsi="Arial" w:cs="Arial"/>
          <w:sz w:val="24"/>
          <w:szCs w:val="24"/>
        </w:rPr>
      </w:pPr>
    </w:p>
    <w:p w:rsidR="004777FA" w:rsidRDefault="00EA48AA" w:rsidP="00EA48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8AA">
        <w:rPr>
          <w:rFonts w:ascii="Times New Roman" w:eastAsia="Times New Roman" w:hAnsi="Times New Roman" w:cs="Times New Roman"/>
          <w:sz w:val="24"/>
          <w:szCs w:val="24"/>
        </w:rPr>
        <w:t xml:space="preserve">Prihodi poslovanja </w:t>
      </w:r>
      <w:r w:rsidRPr="00EA48AA">
        <w:rPr>
          <w:rFonts w:ascii="Times New Roman" w:hAnsi="Times New Roman" w:cs="Times New Roman"/>
          <w:sz w:val="24"/>
          <w:szCs w:val="24"/>
        </w:rPr>
        <w:t xml:space="preserve">Općine Marijanci za 2025. godinu planirani su u iznosu </w:t>
      </w:r>
      <w:r w:rsidR="002C2883">
        <w:rPr>
          <w:rFonts w:ascii="Times New Roman" w:hAnsi="Times New Roman" w:cs="Times New Roman"/>
          <w:sz w:val="24"/>
          <w:szCs w:val="24"/>
        </w:rPr>
        <w:t>od 2.595.855</w:t>
      </w:r>
      <w:r w:rsidR="004777FA">
        <w:rPr>
          <w:rFonts w:ascii="Times New Roman" w:hAnsi="Times New Roman" w:cs="Times New Roman"/>
          <w:sz w:val="24"/>
          <w:szCs w:val="24"/>
        </w:rPr>
        <w:t>,00 eura, a čine ih:</w:t>
      </w:r>
    </w:p>
    <w:p w:rsidR="004777FA" w:rsidRDefault="004777FA" w:rsidP="004777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48AA" w:rsidRPr="004777FA">
        <w:rPr>
          <w:rFonts w:ascii="Times New Roman" w:hAnsi="Times New Roman" w:cs="Times New Roman"/>
          <w:sz w:val="24"/>
          <w:szCs w:val="24"/>
        </w:rPr>
        <w:t xml:space="preserve">rihodi od poreza planirani u iznosu od 498.255,00 eura, </w:t>
      </w:r>
    </w:p>
    <w:p w:rsidR="004777FA" w:rsidRDefault="00320692" w:rsidP="004777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A48AA" w:rsidRPr="004777FA">
        <w:rPr>
          <w:rFonts w:ascii="Times New Roman" w:hAnsi="Times New Roman" w:cs="Times New Roman"/>
          <w:bCs/>
          <w:sz w:val="24"/>
          <w:szCs w:val="24"/>
        </w:rPr>
        <w:t>omoći iz inozemstva i od subjekata unutar općeg proračuna</w:t>
      </w:r>
      <w:r w:rsidR="00EA48AA" w:rsidRPr="004777FA">
        <w:rPr>
          <w:rFonts w:ascii="Times New Roman" w:hAnsi="Times New Roman" w:cs="Times New Roman"/>
          <w:sz w:val="24"/>
          <w:szCs w:val="24"/>
        </w:rPr>
        <w:t xml:space="preserve"> planirani su u iznosu od 1.533.000,00 eura, </w:t>
      </w:r>
    </w:p>
    <w:p w:rsidR="004777FA" w:rsidRDefault="004777FA" w:rsidP="004777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48AA" w:rsidRPr="004777FA">
        <w:rPr>
          <w:rFonts w:ascii="Times New Roman" w:hAnsi="Times New Roman" w:cs="Times New Roman"/>
          <w:sz w:val="24"/>
          <w:szCs w:val="24"/>
        </w:rPr>
        <w:t xml:space="preserve">rihodi od imovine u iznosu od 343.700,00 eura, </w:t>
      </w:r>
    </w:p>
    <w:p w:rsidR="004777FA" w:rsidRDefault="004777FA" w:rsidP="004777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48AA" w:rsidRPr="004777FA">
        <w:rPr>
          <w:rFonts w:ascii="Times New Roman" w:hAnsi="Times New Roman" w:cs="Times New Roman"/>
          <w:sz w:val="24"/>
          <w:szCs w:val="24"/>
        </w:rPr>
        <w:t xml:space="preserve">rihodi od upravnih i administrativnih pristojbi, pristojbi po posebnim propisima i naknada planirani u iznosu od 157.500,00 eura, </w:t>
      </w:r>
    </w:p>
    <w:p w:rsidR="00320692" w:rsidRDefault="004777FA" w:rsidP="004777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A48AA" w:rsidRPr="004777FA">
        <w:rPr>
          <w:rFonts w:ascii="Times New Roman" w:hAnsi="Times New Roman" w:cs="Times New Roman"/>
          <w:bCs/>
          <w:sz w:val="24"/>
          <w:szCs w:val="24"/>
        </w:rPr>
        <w:t xml:space="preserve">rihodi od prodaje proizvoda i robe te pruženih usluga i prihodi od donacija </w:t>
      </w:r>
      <w:r w:rsidR="00EA48AA" w:rsidRPr="004777FA">
        <w:rPr>
          <w:rFonts w:ascii="Times New Roman" w:hAnsi="Times New Roman" w:cs="Times New Roman"/>
          <w:sz w:val="24"/>
          <w:szCs w:val="24"/>
        </w:rPr>
        <w:t>planirani u i</w:t>
      </w:r>
      <w:r w:rsidR="00320692">
        <w:rPr>
          <w:rFonts w:ascii="Times New Roman" w:hAnsi="Times New Roman" w:cs="Times New Roman"/>
          <w:sz w:val="24"/>
          <w:szCs w:val="24"/>
        </w:rPr>
        <w:t>znosu od 63.400,00 eura,</w:t>
      </w:r>
    </w:p>
    <w:p w:rsidR="00F638BF" w:rsidRPr="00F638BF" w:rsidRDefault="00F638BF" w:rsidP="00F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692" w:rsidRPr="00F638BF" w:rsidRDefault="00320692" w:rsidP="00F6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8BF">
        <w:rPr>
          <w:rFonts w:ascii="Times New Roman" w:hAnsi="Times New Roman" w:cs="Times New Roman"/>
          <w:bCs/>
          <w:sz w:val="24"/>
          <w:szCs w:val="24"/>
        </w:rPr>
        <w:t>P</w:t>
      </w:r>
      <w:r w:rsidR="00EA48AA" w:rsidRPr="00F638BF">
        <w:rPr>
          <w:rFonts w:ascii="Times New Roman" w:hAnsi="Times New Roman" w:cs="Times New Roman"/>
          <w:sz w:val="24"/>
          <w:szCs w:val="24"/>
        </w:rPr>
        <w:t>rihodi od prodaje nefinancijske imovine planira</w:t>
      </w:r>
      <w:r w:rsidRPr="00F638BF">
        <w:rPr>
          <w:rFonts w:ascii="Times New Roman" w:hAnsi="Times New Roman" w:cs="Times New Roman"/>
          <w:sz w:val="24"/>
          <w:szCs w:val="24"/>
        </w:rPr>
        <w:t>ni u iznosu od 111.500,00 eura:</w:t>
      </w:r>
    </w:p>
    <w:p w:rsidR="00320692" w:rsidRDefault="00EA48AA" w:rsidP="003206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7FA">
        <w:rPr>
          <w:rFonts w:ascii="Times New Roman" w:hAnsi="Times New Roman" w:cs="Times New Roman"/>
          <w:sz w:val="24"/>
          <w:szCs w:val="24"/>
        </w:rPr>
        <w:t>za prihode od prodaje proizvedene dugotrajne imovine 1.500,00 eura i</w:t>
      </w:r>
    </w:p>
    <w:p w:rsidR="00EA48AA" w:rsidRPr="004777FA" w:rsidRDefault="00EA48AA" w:rsidP="003206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7FA">
        <w:rPr>
          <w:rFonts w:ascii="Times New Roman" w:hAnsi="Times New Roman" w:cs="Times New Roman"/>
          <w:sz w:val="24"/>
          <w:szCs w:val="24"/>
        </w:rPr>
        <w:t>za prihode od prodaje neproizvedene dugo</w:t>
      </w:r>
      <w:r w:rsidR="00320692">
        <w:rPr>
          <w:rFonts w:ascii="Times New Roman" w:hAnsi="Times New Roman" w:cs="Times New Roman"/>
          <w:sz w:val="24"/>
          <w:szCs w:val="24"/>
        </w:rPr>
        <w:t>trajne imovine 110.000,00 eura.</w:t>
      </w:r>
      <w:r w:rsidRPr="00477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8AA" w:rsidRDefault="00EA48AA" w:rsidP="00EA48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082B" w:rsidRDefault="00C8082B" w:rsidP="00EA48AA">
      <w:pPr>
        <w:rPr>
          <w:rFonts w:ascii="Arial" w:hAnsi="Arial" w:cs="Arial"/>
          <w:sz w:val="24"/>
          <w:szCs w:val="24"/>
        </w:rPr>
      </w:pPr>
    </w:p>
    <w:p w:rsidR="00C8082B" w:rsidRPr="00940234" w:rsidRDefault="00320692" w:rsidP="00EA48AA">
      <w:pPr>
        <w:rPr>
          <w:rFonts w:ascii="Times New Roman" w:hAnsi="Times New Roman" w:cs="Times New Roman"/>
          <w:sz w:val="24"/>
          <w:szCs w:val="24"/>
        </w:rPr>
      </w:pPr>
      <w:r w:rsidRPr="00940234">
        <w:rPr>
          <w:rFonts w:ascii="Times New Roman" w:hAnsi="Times New Roman" w:cs="Times New Roman"/>
          <w:sz w:val="24"/>
          <w:szCs w:val="24"/>
        </w:rPr>
        <w:t xml:space="preserve">Tablica 1. Prihodi i primici 2025. godine  </w:t>
      </w:r>
      <w:r w:rsidR="00940234" w:rsidRPr="00940234">
        <w:rPr>
          <w:rFonts w:ascii="Times New Roman" w:hAnsi="Times New Roman" w:cs="Times New Roman"/>
          <w:sz w:val="24"/>
          <w:szCs w:val="24"/>
        </w:rPr>
        <w:t>s projekcijama za 2026</w:t>
      </w:r>
      <w:r w:rsidRPr="00940234">
        <w:rPr>
          <w:rFonts w:ascii="Times New Roman" w:hAnsi="Times New Roman" w:cs="Times New Roman"/>
          <w:sz w:val="24"/>
          <w:szCs w:val="24"/>
        </w:rPr>
        <w:t xml:space="preserve">. i </w:t>
      </w:r>
      <w:r w:rsidR="00940234" w:rsidRPr="00940234">
        <w:rPr>
          <w:rFonts w:ascii="Times New Roman" w:hAnsi="Times New Roman" w:cs="Times New Roman"/>
          <w:sz w:val="24"/>
          <w:szCs w:val="24"/>
        </w:rPr>
        <w:t>2027</w:t>
      </w:r>
      <w:r w:rsidRPr="00940234">
        <w:rPr>
          <w:rFonts w:ascii="Times New Roman" w:hAnsi="Times New Roman" w:cs="Times New Roman"/>
          <w:sz w:val="24"/>
          <w:szCs w:val="24"/>
        </w:rPr>
        <w:t>. godinu.</w:t>
      </w:r>
    </w:p>
    <w:p w:rsidR="00C8082B" w:rsidRDefault="00C8082B" w:rsidP="00EA48A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4145" w:type="pct"/>
        <w:jc w:val="center"/>
        <w:tblInd w:w="-2217" w:type="dxa"/>
        <w:tblLayout w:type="fixed"/>
        <w:tblLook w:val="04A0" w:firstRow="1" w:lastRow="0" w:firstColumn="1" w:lastColumn="0" w:noHBand="0" w:noVBand="1"/>
      </w:tblPr>
      <w:tblGrid>
        <w:gridCol w:w="5105"/>
        <w:gridCol w:w="2226"/>
        <w:gridCol w:w="2228"/>
        <w:gridCol w:w="2229"/>
      </w:tblGrid>
      <w:tr w:rsidR="00D73A66" w:rsidTr="00D73A66">
        <w:trPr>
          <w:trHeight w:val="744"/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 w:themeFill="accent1" w:themeFillTint="66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eastAsia="Calibri" w:cstheme="minorHAnsi"/>
                <w:b/>
                <w:color w:val="4F81BD" w:themeColor="accent1"/>
              </w:rPr>
              <w:t>PRIHODI I PRIMICI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 w:themeFill="accent1" w:themeFillTint="66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eastAsia="Calibri" w:cstheme="minorHAnsi"/>
                <w:b/>
                <w:color w:val="4F81BD" w:themeColor="accent1"/>
              </w:rPr>
              <w:t>PLAN</w:t>
            </w:r>
          </w:p>
          <w:p w:rsidR="00D73A66" w:rsidRDefault="00D73A66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eastAsia="Calibri" w:cstheme="minorHAnsi"/>
                <w:b/>
                <w:color w:val="4F81BD" w:themeColor="accent1"/>
              </w:rPr>
              <w:t>2025.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 w:themeFill="accent1" w:themeFillTint="66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eastAsia="Calibri" w:cstheme="minorHAnsi"/>
                <w:b/>
                <w:color w:val="4F81BD" w:themeColor="accent1"/>
              </w:rPr>
              <w:t>PROJEKCIJE 2026.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 w:themeFill="accent1" w:themeFillTint="66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bookmarkStart w:id="0" w:name="_Hlk64526596"/>
            <w:r>
              <w:rPr>
                <w:rFonts w:eastAsia="Calibri" w:cstheme="minorHAnsi"/>
                <w:b/>
                <w:color w:val="4F81BD" w:themeColor="accent1"/>
              </w:rPr>
              <w:t>PROJEKCIJE 2027.</w:t>
            </w:r>
            <w:bookmarkEnd w:id="0"/>
          </w:p>
        </w:tc>
      </w:tr>
      <w:tr w:rsidR="00D73A66" w:rsidTr="00D73A66">
        <w:trPr>
          <w:trHeight w:val="662"/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2.595.855,00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3.412.646,00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3.411.131,00</w:t>
            </w:r>
          </w:p>
        </w:tc>
      </w:tr>
      <w:tr w:rsidR="00D73A66" w:rsidTr="00D73A66">
        <w:trPr>
          <w:trHeight w:val="700"/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61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498.255,00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494.065,00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492.550,00</w:t>
            </w:r>
          </w:p>
        </w:tc>
      </w:tr>
      <w:tr w:rsidR="00D73A66" w:rsidTr="00D73A66">
        <w:trPr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63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1.533.000,00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2.463.881,00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2.463.881,00</w:t>
            </w:r>
          </w:p>
        </w:tc>
      </w:tr>
      <w:tr w:rsidR="00D73A66" w:rsidTr="00D73A66">
        <w:trPr>
          <w:trHeight w:val="635"/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64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343.700,00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308.100,00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308.100,00</w:t>
            </w:r>
          </w:p>
        </w:tc>
      </w:tr>
      <w:tr w:rsidR="00D73A66" w:rsidTr="00D73A66">
        <w:trPr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65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157.500,00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145.600,00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145.600,00</w:t>
            </w:r>
          </w:p>
        </w:tc>
      </w:tr>
      <w:tr w:rsidR="00D73A66" w:rsidTr="00D73A66">
        <w:trPr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66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Prihodi od prodaje proizvoda i robe te pruženih usluga, prihodi od donacija te povrati po protestira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63.400,00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1.000,00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1.000,00</w:t>
            </w:r>
          </w:p>
        </w:tc>
      </w:tr>
      <w:tr w:rsidR="00D73A66" w:rsidTr="00D73A66">
        <w:trPr>
          <w:trHeight w:val="1007"/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111.500,00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18.500,00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18.500,00</w:t>
            </w:r>
          </w:p>
        </w:tc>
      </w:tr>
      <w:tr w:rsidR="00D73A66" w:rsidTr="00D73A66">
        <w:trPr>
          <w:trHeight w:val="1007"/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71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110.000,00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17.000,00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17.000,00</w:t>
            </w:r>
          </w:p>
        </w:tc>
      </w:tr>
      <w:tr w:rsidR="00D73A66" w:rsidTr="00D73A66">
        <w:trPr>
          <w:trHeight w:val="1007"/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72 </w:t>
            </w:r>
            <w:r>
              <w:rPr>
                <w:rFonts w:eastAsia="Calibri" w:cstheme="minorHAnsi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1.500,00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1.500,00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1.500,00</w:t>
            </w:r>
          </w:p>
        </w:tc>
      </w:tr>
      <w:tr w:rsidR="00D73A66" w:rsidTr="00D73A66">
        <w:trPr>
          <w:trHeight w:val="1007"/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</w:tr>
      <w:tr w:rsidR="00D73A66" w:rsidTr="00D73A66">
        <w:trPr>
          <w:trHeight w:val="879"/>
          <w:jc w:val="center"/>
        </w:trPr>
        <w:tc>
          <w:tcPr>
            <w:tcW w:w="5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84 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2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A66" w:rsidRDefault="00D73A66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:rsidR="00C8082B" w:rsidRDefault="00C8082B" w:rsidP="00EA48AA">
      <w:pPr>
        <w:rPr>
          <w:rFonts w:ascii="Arial" w:hAnsi="Arial" w:cs="Arial"/>
          <w:sz w:val="24"/>
          <w:szCs w:val="24"/>
        </w:rPr>
      </w:pPr>
    </w:p>
    <w:p w:rsidR="004033DF" w:rsidRDefault="004033DF" w:rsidP="00EA48AA">
      <w:pPr>
        <w:rPr>
          <w:rFonts w:ascii="Arial" w:hAnsi="Arial" w:cs="Arial"/>
          <w:sz w:val="24"/>
          <w:szCs w:val="24"/>
        </w:rPr>
      </w:pPr>
    </w:p>
    <w:p w:rsidR="00D73A66" w:rsidRDefault="00577F16" w:rsidP="00EA48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 I IZDACI</w:t>
      </w:r>
    </w:p>
    <w:p w:rsidR="00F638BF" w:rsidRPr="003E349C" w:rsidRDefault="00F638BF" w:rsidP="00F638B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Rashodi poslovanja Općine Marijanci za 2025. godinu planirani su u iznosu od 1.283.155,00 eura, a čine ih:</w:t>
      </w:r>
    </w:p>
    <w:p w:rsidR="00F638BF" w:rsidRPr="003E349C" w:rsidRDefault="00F638BF" w:rsidP="00F638BF">
      <w:pPr>
        <w:pStyle w:val="ListParagraph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Rashodi za zaposlene planirani u iznosu od 147.400,00 eura, </w:t>
      </w:r>
    </w:p>
    <w:p w:rsidR="00F638BF" w:rsidRPr="003E349C" w:rsidRDefault="00F638BF" w:rsidP="00F638BF">
      <w:pPr>
        <w:pStyle w:val="ListParagraph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Materijalni rashodi planirani u iznosu od 597.915,00 eura, </w:t>
      </w:r>
    </w:p>
    <w:p w:rsidR="00F638BF" w:rsidRPr="003E349C" w:rsidRDefault="00F638BF" w:rsidP="00F638BF">
      <w:pPr>
        <w:pStyle w:val="ListParagraph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Financijski rashodi planirani u iznosu od 85.070,00 eura, </w:t>
      </w:r>
    </w:p>
    <w:p w:rsidR="00F638BF" w:rsidRPr="003E349C" w:rsidRDefault="00F638BF" w:rsidP="00F638BF">
      <w:pPr>
        <w:pStyle w:val="ListParagraph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color w:val="000000" w:themeColor="text1"/>
          <w:sz w:val="24"/>
          <w:szCs w:val="24"/>
        </w:rPr>
        <w:t>Naknade građanima i kućanstvima na temelju osiguranja i druge naknade planirane u iznosu od 123.300,00 eura,</w:t>
      </w:r>
    </w:p>
    <w:p w:rsidR="00F638BF" w:rsidRPr="003E349C" w:rsidRDefault="00F638BF" w:rsidP="00F638BF">
      <w:pPr>
        <w:pStyle w:val="ListParagraph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Ostali rashodi planirani u iznosu od 329.470,00 eura. </w:t>
      </w:r>
    </w:p>
    <w:p w:rsidR="00F638BF" w:rsidRPr="003E349C" w:rsidRDefault="00F638BF" w:rsidP="00F638B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638BF" w:rsidRPr="003E349C" w:rsidRDefault="00F638BF" w:rsidP="00F638B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Rashodi za nabavu nefinancijske imovine planirani u iznosu od 1.274.200,00 eura, a čine ih:</w:t>
      </w:r>
    </w:p>
    <w:p w:rsidR="00F638BF" w:rsidRPr="003E349C" w:rsidRDefault="00F638BF" w:rsidP="00F638BF">
      <w:pPr>
        <w:pStyle w:val="ListParagraph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color w:val="000000" w:themeColor="text1"/>
          <w:sz w:val="24"/>
          <w:szCs w:val="24"/>
        </w:rPr>
        <w:t>Rashodi za nabavu proizvedene dugotrajne imovine planirani u iznosu od 1.254.200,00 eura.</w:t>
      </w:r>
    </w:p>
    <w:p w:rsidR="00F638BF" w:rsidRPr="003E349C" w:rsidRDefault="00F638BF" w:rsidP="00F638BF">
      <w:pPr>
        <w:pStyle w:val="ListParagraph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color w:val="000000" w:themeColor="text1"/>
          <w:sz w:val="24"/>
          <w:szCs w:val="24"/>
        </w:rPr>
        <w:t>Rashodi za dodatna ulaganja na nefinancijskoj imovini planirani u iznosu od 20.000,00 eura.</w:t>
      </w:r>
    </w:p>
    <w:p w:rsidR="00F638BF" w:rsidRPr="003E349C" w:rsidRDefault="00F638BF" w:rsidP="00F638B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8BF" w:rsidRDefault="00F638BF" w:rsidP="00F638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Izdaci za otplatu glavnice primljenih kredita i zajmova Općine Marijanci za 2025. godinu planirani su u iznosu od 150.000,00 eura. </w:t>
      </w:r>
    </w:p>
    <w:p w:rsidR="00940234" w:rsidRDefault="00940234" w:rsidP="00F638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234" w:rsidRDefault="00940234" w:rsidP="00F638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Tablica 2. Rashodi i izaci za 2025. godinu s projekcima za 2026. i 2027. </w:t>
      </w:r>
      <w:r w:rsidR="00530F1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</w:p>
    <w:tbl>
      <w:tblPr>
        <w:tblStyle w:val="TableGrid"/>
        <w:tblW w:w="4133" w:type="pct"/>
        <w:jc w:val="center"/>
        <w:tblInd w:w="-2248" w:type="dxa"/>
        <w:tblLayout w:type="fixed"/>
        <w:tblLook w:val="04A0" w:firstRow="1" w:lastRow="0" w:firstColumn="1" w:lastColumn="0" w:noHBand="0" w:noVBand="1"/>
      </w:tblPr>
      <w:tblGrid>
        <w:gridCol w:w="4687"/>
        <w:gridCol w:w="2355"/>
        <w:gridCol w:w="2356"/>
        <w:gridCol w:w="2356"/>
      </w:tblGrid>
      <w:tr w:rsidR="00940234" w:rsidTr="00940234">
        <w:trPr>
          <w:trHeight w:val="841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 w:themeFill="accent1" w:themeFillTint="66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eastAsia="Calibri" w:cstheme="minorHAnsi"/>
                <w:b/>
                <w:color w:val="4F81BD" w:themeColor="accent1"/>
              </w:rPr>
              <w:t>RASHODI I IZDACI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 w:themeFill="accent1" w:themeFillTint="66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eastAsia="Calibri" w:cstheme="minorHAnsi"/>
                <w:b/>
                <w:color w:val="4F81BD" w:themeColor="accent1"/>
              </w:rPr>
              <w:t>PLAN</w:t>
            </w:r>
          </w:p>
          <w:p w:rsidR="00940234" w:rsidRDefault="00940234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eastAsia="Calibri" w:cstheme="minorHAnsi"/>
                <w:b/>
                <w:color w:val="4F81BD" w:themeColor="accent1"/>
              </w:rPr>
              <w:t>2025.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 w:themeFill="accent1" w:themeFillTint="66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eastAsia="Calibri" w:cstheme="minorHAnsi"/>
                <w:b/>
                <w:color w:val="4F81BD" w:themeColor="accent1"/>
              </w:rPr>
              <w:t>PROJEKCIJE 2026.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8CCE4" w:themeFill="accent1" w:themeFillTint="66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>
              <w:rPr>
                <w:rFonts w:eastAsia="Calibri" w:cstheme="minorHAnsi"/>
                <w:b/>
                <w:color w:val="4F81BD" w:themeColor="accent1"/>
              </w:rPr>
              <w:t>PROJEKCIJE 2027.</w:t>
            </w:r>
          </w:p>
        </w:tc>
      </w:tr>
      <w:tr w:rsidR="00940234" w:rsidTr="00940234">
        <w:trPr>
          <w:trHeight w:val="755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1.283.155,00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1.185.465,00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1.161.950,00</w:t>
            </w:r>
          </w:p>
        </w:tc>
      </w:tr>
      <w:tr w:rsidR="00940234" w:rsidTr="00940234">
        <w:trPr>
          <w:trHeight w:val="755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31 </w:t>
            </w:r>
            <w:r>
              <w:rPr>
                <w:rFonts w:eastAsia="Calibri"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147.400,00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144.600,00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144.600,00</w:t>
            </w:r>
          </w:p>
        </w:tc>
      </w:tr>
      <w:tr w:rsidR="00940234" w:rsidTr="00940234">
        <w:trPr>
          <w:trHeight w:val="755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32 </w:t>
            </w:r>
            <w:r>
              <w:rPr>
                <w:rFonts w:eastAsia="Calibri"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597.915,00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552.925,00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553.150,00</w:t>
            </w:r>
          </w:p>
        </w:tc>
      </w:tr>
      <w:tr w:rsidR="00940234" w:rsidTr="00940234">
        <w:trPr>
          <w:trHeight w:val="755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34 </w:t>
            </w:r>
            <w:r>
              <w:rPr>
                <w:rFonts w:eastAsia="Calibri"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85.070,00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76.070,00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51.500,00</w:t>
            </w:r>
          </w:p>
        </w:tc>
      </w:tr>
      <w:tr w:rsidR="00940234" w:rsidTr="00940234">
        <w:trPr>
          <w:trHeight w:val="977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37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Naknade građanima i kućanstvima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123.300,00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123.300,00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123.300,00</w:t>
            </w:r>
          </w:p>
        </w:tc>
      </w:tr>
      <w:tr w:rsidR="00940234" w:rsidTr="00940234">
        <w:trPr>
          <w:trHeight w:val="977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38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329.470,00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288.570,00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289.400,00</w:t>
            </w:r>
          </w:p>
        </w:tc>
      </w:tr>
      <w:tr w:rsidR="00940234" w:rsidTr="00940234">
        <w:trPr>
          <w:trHeight w:val="932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1.274.200,00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2.115.681,00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2.137.681,00</w:t>
            </w:r>
          </w:p>
        </w:tc>
      </w:tr>
      <w:tr w:rsidR="00940234" w:rsidTr="00940234">
        <w:trPr>
          <w:trHeight w:val="1413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42 </w:t>
            </w:r>
            <w:r>
              <w:rPr>
                <w:rFonts w:eastAsia="Calibri"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1.254.200,00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2.085.681,00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2.107.681,00</w:t>
            </w:r>
          </w:p>
        </w:tc>
      </w:tr>
      <w:tr w:rsidR="00940234" w:rsidTr="00940234">
        <w:trPr>
          <w:trHeight w:val="1413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45 </w:t>
            </w:r>
            <w:r>
              <w:rPr>
                <w:rFonts w:eastAsia="Calibri"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30.000,00</w:t>
            </w:r>
          </w:p>
        </w:tc>
      </w:tr>
      <w:tr w:rsidR="00940234" w:rsidTr="00940234">
        <w:trPr>
          <w:trHeight w:val="1157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150.000,00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130.000,00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130.000,00</w:t>
            </w:r>
          </w:p>
        </w:tc>
      </w:tr>
      <w:tr w:rsidR="00940234" w:rsidTr="00940234">
        <w:trPr>
          <w:trHeight w:val="1157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53 </w:t>
            </w:r>
            <w:r>
              <w:rPr>
                <w:rFonts w:eastAsia="Calibri" w:cstheme="minorHAnsi"/>
                <w:bCs/>
                <w:sz w:val="20"/>
                <w:szCs w:val="20"/>
              </w:rPr>
              <w:t>Izdaci za dionice i udjele u glavnici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940234" w:rsidTr="00940234">
        <w:trPr>
          <w:trHeight w:val="1398"/>
          <w:jc w:val="center"/>
        </w:trPr>
        <w:tc>
          <w:tcPr>
            <w:tcW w:w="4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530F13" w:rsidP="0061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 </w:t>
            </w:r>
            <w:r w:rsidR="00940234">
              <w:rPr>
                <w:rFonts w:eastAsia="Calibri" w:cstheme="minorHAnsi"/>
                <w:b/>
                <w:sz w:val="20"/>
                <w:szCs w:val="20"/>
              </w:rPr>
              <w:t xml:space="preserve">54 </w:t>
            </w:r>
            <w:r w:rsidR="00940234">
              <w:rPr>
                <w:rFonts w:eastAsia="Calibri"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150.000,00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130.000,00</w:t>
            </w:r>
          </w:p>
        </w:tc>
        <w:tc>
          <w:tcPr>
            <w:tcW w:w="2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0234" w:rsidRDefault="00940234" w:rsidP="0061450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130.000,00</w:t>
            </w:r>
          </w:p>
        </w:tc>
      </w:tr>
    </w:tbl>
    <w:p w:rsidR="00940234" w:rsidRPr="003E349C" w:rsidRDefault="00940234" w:rsidP="00F638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8BF" w:rsidRDefault="002E0525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RAČUN ZADUŽIVANJA FINANCIRANJA</w:t>
      </w:r>
    </w:p>
    <w:p w:rsidR="002E0525" w:rsidRDefault="002E0525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promatranom razdoblju Općina Marijanci neće se zaduživati na domaćem i stranom tržištu rada. </w:t>
      </w:r>
    </w:p>
    <w:p w:rsidR="00C61D39" w:rsidRDefault="00C61D39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525" w:rsidRDefault="00C61D39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VIŠEGODIŠNJI PLAN URAVNOTEŽENJA</w:t>
      </w:r>
    </w:p>
    <w:p w:rsidR="002E0525" w:rsidRDefault="002E0525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Iako je u financijskim izvješćima 30.09.</w:t>
      </w:r>
      <w:r w:rsidR="004F3A0E">
        <w:rPr>
          <w:rFonts w:ascii="Times New Roman" w:hAnsi="Times New Roman" w:cs="Times New Roman"/>
          <w:color w:val="000000" w:themeColor="text1"/>
          <w:sz w:val="24"/>
          <w:szCs w:val="24"/>
        </w:rPr>
        <w:t>2024.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iskazan manjak prihoda i primitaka očekuje se</w:t>
      </w:r>
      <w:r w:rsidR="004F3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će se isti podmiriti u tekućoj proračunskoj godini temeljem procjene prihoda i primitaka čije se ostvarenje očekuje do </w:t>
      </w:r>
      <w:r w:rsidR="00FE6217">
        <w:rPr>
          <w:rFonts w:ascii="Times New Roman" w:hAnsi="Times New Roman" w:cs="Times New Roman"/>
          <w:color w:val="000000" w:themeColor="text1"/>
          <w:sz w:val="24"/>
          <w:szCs w:val="24"/>
        </w:rPr>
        <w:t>kraja tekuće proračunske godine. Sukladno navedenom neće se raditi višegodišnji plan uravnoteženja.</w:t>
      </w:r>
      <w:r w:rsidR="009B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883">
        <w:rPr>
          <w:rFonts w:ascii="Times New Roman" w:hAnsi="Times New Roman" w:cs="Times New Roman"/>
          <w:color w:val="000000" w:themeColor="text1"/>
          <w:sz w:val="24"/>
          <w:szCs w:val="24"/>
        </w:rPr>
        <w:t>Do kraja proračunske 2024. godine očekuje se ostvarenje prihoda od prodaje poljoprivrednog zemljišta.</w:t>
      </w:r>
      <w:bookmarkStart w:id="1" w:name="_GoBack"/>
      <w:bookmarkEnd w:id="1"/>
      <w:r w:rsidR="002C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5250" w:rsidRDefault="002D5250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250" w:rsidRDefault="002D5250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PRORAČUN PO PRORAČUNSKIM KLASIFIKACIJAMA</w:t>
      </w:r>
    </w:p>
    <w:p w:rsidR="009A5504" w:rsidRDefault="00325D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Proračun Općine Marijanci sastoji se od razdjela, glava i programa. Programi se sastoje od aktivnosti i projekata (kapitalni i tekući projekti). </w:t>
      </w:r>
    </w:p>
    <w:p w:rsidR="00992491" w:rsidRPr="00A74B57" w:rsidRDefault="00CF4947" w:rsidP="00EA48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4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RAZDJEL-OPĆINA MARIJANCI</w:t>
      </w:r>
    </w:p>
    <w:p w:rsidR="00CF4947" w:rsidRPr="00A74B57" w:rsidRDefault="00CF4947" w:rsidP="00EA48A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74B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GLAVA 01 – OPĆINSKO VIJEĆE</w:t>
      </w:r>
    </w:p>
    <w:p w:rsidR="00CF4947" w:rsidRDefault="00CF4947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1200 SUFINANCIRANJE VJERSKIH ZAJEDNICA</w:t>
      </w:r>
    </w:p>
    <w:p w:rsidR="00AF3AF1" w:rsidRDefault="00AF3AF1" w:rsidP="00AF3A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A120001 DONACIJE VJRSKIM ZAJEDNICAMA</w:t>
      </w:r>
    </w:p>
    <w:p w:rsidR="00AF3AF1" w:rsidRPr="00AF3AF1" w:rsidRDefault="00AF3AF1" w:rsidP="00AF3AF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donacije vjerskim zajednicama izdvaja se 10.000,00 eura</w:t>
      </w:r>
    </w:p>
    <w:p w:rsidR="00A74B57" w:rsidRDefault="006D0B32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1100 PREDSTAVNIČKA I IZVRŠNA </w:t>
      </w:r>
    </w:p>
    <w:p w:rsidR="00AF3AF1" w:rsidRPr="00AF3AF1" w:rsidRDefault="00AF3AF1" w:rsidP="00AF3AF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 je u iznosu od 89.770,00 eura, a sadrži sljedeće aktivnosti:</w:t>
      </w:r>
    </w:p>
    <w:p w:rsidR="00AF3AF1" w:rsidRDefault="00AF3AF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A110014, LOKALNI IZBORI, planirana u iznosu 20.000,00 eura</w:t>
      </w:r>
    </w:p>
    <w:p w:rsidR="006D0B32" w:rsidRDefault="006D0B32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A110013 POVRAT EU SREDSTAVA</w:t>
      </w:r>
      <w:r w:rsidR="00AF3AF1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24.570,00 eura</w:t>
      </w:r>
    </w:p>
    <w:p w:rsidR="00391CE5" w:rsidRDefault="00391CE5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A110009 LOKALNA AKCIJSKA GRUPA</w:t>
      </w:r>
      <w:r w:rsidR="00AF3AF1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1.400,00 eura</w:t>
      </w:r>
    </w:p>
    <w:p w:rsidR="00391CE5" w:rsidRDefault="00C339FC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A110008 SUFINANCIRANJE CRVENOG KRIŽA</w:t>
      </w:r>
      <w:r w:rsidR="00AF3AF1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2.000,00 eura</w:t>
      </w:r>
    </w:p>
    <w:p w:rsidR="001F2807" w:rsidRDefault="001F2807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A110007 PROSLAVA BLAGDANA BOŽIĆA – NOVE GODINE</w:t>
      </w:r>
      <w:r w:rsidR="00AF3AF1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13.300,00 eura</w:t>
      </w:r>
    </w:p>
    <w:p w:rsidR="001F2807" w:rsidRDefault="001F2807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Aktivnost A110004 </w:t>
      </w:r>
      <w:r w:rsidR="002247EB">
        <w:rPr>
          <w:rFonts w:ascii="Times New Roman" w:hAnsi="Times New Roman" w:cs="Times New Roman"/>
          <w:color w:val="000000" w:themeColor="text1"/>
          <w:sz w:val="24"/>
          <w:szCs w:val="24"/>
        </w:rPr>
        <w:t>NAKNADA ZA UREĐENJE VODA</w:t>
      </w:r>
      <w:r w:rsidR="00AF3AF1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1.000,00 eura</w:t>
      </w:r>
    </w:p>
    <w:p w:rsidR="002247EB" w:rsidRDefault="002247EB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A110003 ODRŽAVANJE DANA OPĆINE I DRUGE PRIGODE</w:t>
      </w:r>
      <w:r w:rsidR="00AF3AF1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13.300,00 eura</w:t>
      </w:r>
    </w:p>
    <w:p w:rsidR="00336848" w:rsidRDefault="00336848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A110002 SUFINANCIRANJE POLITIČKIH STRANAKA</w:t>
      </w:r>
      <w:r w:rsidR="00AF3AF1">
        <w:rPr>
          <w:rFonts w:ascii="Times New Roman" w:hAnsi="Times New Roman" w:cs="Times New Roman"/>
          <w:color w:val="000000" w:themeColor="text1"/>
          <w:sz w:val="24"/>
          <w:szCs w:val="24"/>
        </w:rPr>
        <w:t>,  planiran</w:t>
      </w:r>
      <w:r w:rsidR="00A84D4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F3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1.200,00 eura</w:t>
      </w:r>
    </w:p>
    <w:p w:rsidR="00336848" w:rsidRDefault="00336848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A110001 NAKNADA ZA RAD PRESTAVNIČKIH I IZVRŠNIH TIJELA</w:t>
      </w:r>
      <w:r w:rsidR="00AF3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planirana u iznosu </w:t>
      </w:r>
      <w:r w:rsidR="00A84D4C">
        <w:rPr>
          <w:rFonts w:ascii="Times New Roman" w:hAnsi="Times New Roman" w:cs="Times New Roman"/>
          <w:color w:val="000000" w:themeColor="text1"/>
          <w:sz w:val="24"/>
          <w:szCs w:val="24"/>
        </w:rPr>
        <w:t>13.000,00 eura</w:t>
      </w:r>
    </w:p>
    <w:p w:rsidR="00A84D4C" w:rsidRDefault="00A84D4C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Ovim programom je obuhvaćen rashod za sufinanciranje crvenog križa, lokalne akcijske grupe, političkih stranaka, te za povrate EU sredstava kao i za djelotvorno izvršavanje funkcije Općinksog vijeća s ciljem aktivnog sudjelovanja vijećnika u radu Općinskog vijeća.</w:t>
      </w:r>
    </w:p>
    <w:p w:rsidR="00CB7A7A" w:rsidRDefault="00CB7A7A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A7A" w:rsidRDefault="00CB7A7A" w:rsidP="00EA48A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B7A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GLAVA 02 – URED NAČELNIKA</w:t>
      </w:r>
    </w:p>
    <w:p w:rsidR="00CB7A7A" w:rsidRDefault="00CB7A7A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2003 PRORAČUNSKA PRIČUVA</w:t>
      </w:r>
    </w:p>
    <w:p w:rsidR="00CB7A7A" w:rsidRDefault="00CB7A7A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A200301 NEPLANIRANI I NEPREDVIĐENI IZDACI</w:t>
      </w:r>
    </w:p>
    <w:p w:rsidR="0070232A" w:rsidRPr="0070232A" w:rsidRDefault="0070232A" w:rsidP="0070232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proračunsku pričuvu izdvaja se 4.000,00 eura</w:t>
      </w:r>
    </w:p>
    <w:p w:rsidR="00CB7A7A" w:rsidRDefault="00CB7A7A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2002 IZVRŠNA TIJELA</w:t>
      </w:r>
    </w:p>
    <w:p w:rsidR="001E2363" w:rsidRPr="007368FD" w:rsidRDefault="001E2363" w:rsidP="007368F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 je u iznosu 219.540,00 eura, a raspoređena je na </w:t>
      </w:r>
      <w:r w:rsidR="00736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sljedeće </w:t>
      </w:r>
      <w:r w:rsidRPr="007368FD">
        <w:rPr>
          <w:rFonts w:ascii="Times New Roman" w:hAnsi="Times New Roman" w:cs="Times New Roman"/>
          <w:color w:val="000000" w:themeColor="text1"/>
          <w:sz w:val="24"/>
          <w:szCs w:val="24"/>
        </w:rPr>
        <w:t>aktivnosti:</w:t>
      </w:r>
    </w:p>
    <w:p w:rsidR="00CB7A7A" w:rsidRDefault="00CB7A7A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A200203 ADMINISTRATIVNO I TEHNIČKO OSOBLJE</w:t>
      </w:r>
      <w:r w:rsidR="00EA3CE8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205.240,00 eura</w:t>
      </w:r>
    </w:p>
    <w:p w:rsidR="00CB7A7A" w:rsidRDefault="00CB7A7A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A200202 SUFINANCIRANJE NAKNADE ZA POŠTANSKE USLUGE</w:t>
      </w:r>
      <w:r w:rsidR="00EA3CE8">
        <w:rPr>
          <w:rFonts w:ascii="Times New Roman" w:hAnsi="Times New Roman" w:cs="Times New Roman"/>
          <w:color w:val="000000" w:themeColor="text1"/>
          <w:sz w:val="24"/>
          <w:szCs w:val="24"/>
        </w:rPr>
        <w:t>, naknada za poštanske usluge 1.000,00 eura</w:t>
      </w:r>
    </w:p>
    <w:p w:rsidR="00CB7A7A" w:rsidRDefault="00CB7A7A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A200201 MEDIJI (RADIO, TELEVIZIJA, BILTEN I WEB)</w:t>
      </w:r>
      <w:r w:rsidR="00EA3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planirana u iznosu 13.300,00 eura </w:t>
      </w:r>
    </w:p>
    <w:p w:rsidR="00EA3CE8" w:rsidRDefault="00EA3CE8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Ovim programom omugućena je rodovita djelatnost Upravnog odjela. Program obuhvača rashode za zaposlene, te ostale rashode potrebne za redovitu djelatno ureda. Ciljovog programa je pravovremeno i učinkovito obavljanje zadataka iz nadležnosti, transparentan rad kroz dostupnost mještanima tokom radnog vremena, te informiranje mještana putem medija.</w:t>
      </w:r>
    </w:p>
    <w:p w:rsidR="00CB7A7A" w:rsidRDefault="00C914B4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2001 ZAŠTITA OD POŽARA I CIVILNA ZAŠTITA</w:t>
      </w:r>
    </w:p>
    <w:p w:rsidR="007368FD" w:rsidRPr="007368FD" w:rsidRDefault="007368FD" w:rsidP="00EA48A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 je u iznosu 45.870,00 eura, a raspređen je na sljedeće aktnovnosti:</w:t>
      </w:r>
    </w:p>
    <w:p w:rsidR="00C914B4" w:rsidRDefault="00C914B4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A200103 GORSKA SLUŽBA SPAŠAVANJA</w:t>
      </w:r>
      <w:r w:rsidR="007368FD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od 700,00 eura</w:t>
      </w:r>
    </w:p>
    <w:p w:rsidR="00C914B4" w:rsidRDefault="00C914B4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A200102 VATROGASNA ZAJEDNICA OPĆINE MARIJANCI</w:t>
      </w:r>
      <w:r w:rsidR="007368FD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35.170,00 eura</w:t>
      </w:r>
    </w:p>
    <w:p w:rsidR="00C914B4" w:rsidRDefault="00C914B4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A200101 CIVILNA ZAŠTITA</w:t>
      </w:r>
      <w:r w:rsidR="007368FD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10.000,00 eura</w:t>
      </w:r>
    </w:p>
    <w:p w:rsidR="007368FD" w:rsidRDefault="007368FD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Ovim programom obuhavećni su rashodi vezani za rad vatrogastva i civilne zaštite. Cilj ovog programa je osigurati sredstvo za redovito obavljanje zadataka čija je svrha učinkovitost rada na korist svih mještana.</w:t>
      </w:r>
    </w:p>
    <w:p w:rsidR="00C914B4" w:rsidRDefault="00C914B4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4B4" w:rsidRDefault="00C914B4" w:rsidP="00EA48A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1D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GLAVA 03 </w:t>
      </w:r>
      <w:r w:rsidR="00681D8F" w:rsidRPr="00681D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–</w:t>
      </w:r>
      <w:r w:rsidRPr="00681D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81D8F" w:rsidRPr="00681D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JEDINSTVENI UPRAVNI ODJEL</w:t>
      </w:r>
    </w:p>
    <w:p w:rsidR="00F13786" w:rsidRPr="00F13786" w:rsidRDefault="000A6BEE" w:rsidP="00F137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3017 KOMUNALNA DJELATNOST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Aktivnost A301701 ULAGANJE U KOMUNALNO PODUZEĆE DOROSLOV</w:t>
      </w:r>
    </w:p>
    <w:p w:rsidR="00F13786" w:rsidRDefault="00F13786" w:rsidP="00F137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Planirana u iznosu 20.000,00 eura </w:t>
      </w:r>
    </w:p>
    <w:p w:rsidR="00F13786" w:rsidRPr="00F13786" w:rsidRDefault="00F13786" w:rsidP="00F137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Cilj ovoga porgrama je stvaranje preduvjeta za učinkovito izvršavanje komunalnih usluga.</w:t>
      </w:r>
    </w:p>
    <w:p w:rsidR="00D50F0A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3015 ZAŠTITA KUĆANSTVA OD ZARAZNIHZ BOLESTI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A301501 DERATIZACIJA, DEZINSEKCIJA I OSTALE USLUGE</w:t>
      </w:r>
    </w:p>
    <w:p w:rsidR="00D50F0A" w:rsidRDefault="00D50F0A" w:rsidP="00D50F0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Planirana u iznosu 48.900,00 eura</w:t>
      </w:r>
    </w:p>
    <w:p w:rsidR="00D50F0A" w:rsidRPr="00D50F0A" w:rsidRDefault="00D50F0A" w:rsidP="00D50F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Ovim programom obuhvaćeni su rashodi za aktivno provođenje deratizacije i dezinsekcije, sufinanciranje pregleda mesa na trihinelu, financiranje odvoza animalnog otpada. Svrha ovoga programa je pomoć i zaštita kućanstava svih mještana.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3014 JAVNI RADOVI</w:t>
      </w:r>
    </w:p>
    <w:p w:rsidR="00E9682A" w:rsidRDefault="000A6BEE" w:rsidP="00E968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A301401 PLAĆE I DOPRINOSI</w:t>
      </w:r>
    </w:p>
    <w:p w:rsidR="00E9682A" w:rsidRDefault="00E9682A" w:rsidP="00E968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Ovim programom je planiran iznos za</w:t>
      </w:r>
      <w:r w:rsidRPr="00E96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plaće i doprinose u iznosu</w:t>
      </w:r>
      <w:r w:rsidRPr="00E96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13.000,00 eura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3012 IZGRADNJA I ODRŽAVANJE OBJEKATA KOMUNALNE INFRASTRUKTURE</w:t>
      </w:r>
    </w:p>
    <w:p w:rsidR="00D71B9F" w:rsidRPr="00D71B9F" w:rsidRDefault="00D71B9F" w:rsidP="00D71B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D71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iznosu 961.500,00 eura, a raspore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đuje se na sljedeće aktivnosti: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Tekući projekt T301304 NISKONAPONSKA MREŽA KUNIŠINCI</w:t>
      </w:r>
      <w:r w:rsidR="00D71B9F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 16.000,00 eura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Kapitalni projekt K301313 REKONSTRUKCIJA NERAZVRSTANE CESTE MARIJANCI – KUNIŠINCI</w:t>
      </w:r>
      <w:r w:rsidR="00D71B9F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500.000,00 eura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Kapitalni projekt K301312 MODERNIZACIJA JAVNE RASVJETE BOČKINCI/ČAMAGAJEVCI</w:t>
      </w:r>
      <w:r w:rsidR="00D71B9F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od 20.000,00 eura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Kapitalni projekt K301311 JAVNA RASVJETA KUNIŠINCI</w:t>
      </w:r>
      <w:r w:rsidR="00361C7F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65.000,00 eura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Kapitalni projekt K301309 OBNOVA I PODIZANJE VIŠEGODIŠNJIH NASADA</w:t>
      </w:r>
      <w:r w:rsidR="00361C7F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od 15.000,00 eura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Kapitalni projekt K301301 IZGRADNJA PJEŠAČKIH STAZA</w:t>
      </w:r>
      <w:r w:rsidR="00361C7F">
        <w:rPr>
          <w:rFonts w:ascii="Times New Roman" w:hAnsi="Times New Roman" w:cs="Times New Roman"/>
          <w:color w:val="000000" w:themeColor="text1"/>
          <w:sz w:val="24"/>
          <w:szCs w:val="24"/>
        </w:rPr>
        <w:t>,  planirana u iznosu 90.000,00 eura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A301312 UREĐENJE I ODRŽAVANJE GROBLJA</w:t>
      </w:r>
      <w:r w:rsidR="00361C7F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25.000,00 eura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A301306 ODRŽAVANJE JAVNIH POVRŠINA</w:t>
      </w:r>
      <w:r w:rsidR="00361C7F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62.000,00 eura</w:t>
      </w:r>
    </w:p>
    <w:p w:rsidR="000A6BEE" w:rsidRDefault="000A6BE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A301305</w:t>
      </w:r>
      <w:r w:rsidR="00392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RASHODI ZA UREĐENJE JAVNE RASVJETE</w:t>
      </w:r>
      <w:r w:rsidR="006D7E9B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</w:t>
      </w:r>
      <w:r w:rsidR="00EE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11.500,00 eura</w:t>
      </w:r>
    </w:p>
    <w:p w:rsidR="003922C2" w:rsidRDefault="00057350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A301304 ČIŠĆENJE SNIJEGA S NERAZVRSTANIH CESTA</w:t>
      </w:r>
      <w:r w:rsidR="00EE6304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7.000,00 eura</w:t>
      </w:r>
    </w:p>
    <w:p w:rsidR="00057350" w:rsidRDefault="00057350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A301302 ODRŽAVANJE I REKONSTRUKCIJA NERAZVRSTANIH CESTA</w:t>
      </w:r>
      <w:r w:rsidR="00EE6304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150.000,00 eura</w:t>
      </w:r>
    </w:p>
    <w:p w:rsidR="00EE6304" w:rsidRDefault="0067184E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Cilj ovoga programa je održavanje lo</w:t>
      </w:r>
      <w:r w:rsidR="00EE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kalnih prometnica, održavanje funkcionalnosti javne rasvjete s ciljem osiguranja funkcionalnosti u prometu, održavanje groblja u funkcionalnom stanju, briga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prostorn</w:t>
      </w:r>
      <w:r w:rsidR="00E77C8C">
        <w:rPr>
          <w:rFonts w:ascii="Times New Roman" w:hAnsi="Times New Roman" w:cs="Times New Roman"/>
          <w:color w:val="000000" w:themeColor="text1"/>
          <w:sz w:val="24"/>
          <w:szCs w:val="24"/>
        </w:rPr>
        <w:t>om uređenju, održavanju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izgradnji objekata komunalne infrastrukture s čime se nastoji podići razina kvalitete života svih mještana.</w:t>
      </w:r>
    </w:p>
    <w:p w:rsidR="00057350" w:rsidRDefault="00057350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3012 GRAĐENJE I OPREMANJE OBJEKATA JAVNE NAMJENE</w:t>
      </w:r>
    </w:p>
    <w:p w:rsidR="00EE6304" w:rsidRDefault="00EE6304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 u iznosu 303.357,00 eura, a raspoređuje se na sljedeće aktivnosti:</w:t>
      </w:r>
    </w:p>
    <w:p w:rsidR="00057350" w:rsidRDefault="0085514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Tekući projekt T301201 VATROGASNI DOM KUNIŠINCI</w:t>
      </w:r>
      <w:r w:rsidR="00EE6304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303.375,00 eura</w:t>
      </w:r>
    </w:p>
    <w:p w:rsidR="00A602AA" w:rsidRDefault="0085514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3011 ZAŠTITA OKOLIŠA</w:t>
      </w:r>
    </w:p>
    <w:p w:rsidR="00855141" w:rsidRDefault="0085514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A301101 MJERE GOSPODARENJA OTPADOM</w:t>
      </w:r>
    </w:p>
    <w:p w:rsidR="00A602AA" w:rsidRPr="00A602AA" w:rsidRDefault="00A602AA" w:rsidP="00A602A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Planirana u iznosu 20.000,00 eura</w:t>
      </w:r>
    </w:p>
    <w:p w:rsidR="00855141" w:rsidRDefault="0085514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3010 PREDŠKOLSKI ODGOJ</w:t>
      </w:r>
    </w:p>
    <w:p w:rsidR="00B316C5" w:rsidRDefault="00B316C5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 je u iznous od 170.700,00 eura, a raspoređuje se na sljedeće aktivnosti:</w:t>
      </w:r>
    </w:p>
    <w:p w:rsidR="00855141" w:rsidRDefault="0085514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A301002 MATERIJALNI TROŠKOVI  I USLUGE</w:t>
      </w:r>
      <w:r w:rsidR="00B316C5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13.600,00 eura</w:t>
      </w:r>
    </w:p>
    <w:p w:rsidR="00747571" w:rsidRDefault="0074757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Aktivnost A301001 SUFINANCIRANJE RADA DJEČJEG VRTIĆA</w:t>
      </w:r>
      <w:r w:rsidR="00B316C5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157.100,00 eura</w:t>
      </w:r>
    </w:p>
    <w:p w:rsidR="00747571" w:rsidRDefault="0074757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3009 DEMOGRAFSKE MJERE I AKTIVNOSTI</w:t>
      </w:r>
    </w:p>
    <w:p w:rsidR="007014D4" w:rsidRDefault="007014D4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 u iznosu 92.400,00 eura, a raspoređuje se na sljedeće aktivnosti:</w:t>
      </w:r>
    </w:p>
    <w:p w:rsidR="00747571" w:rsidRDefault="0074757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A300908 POMOĆ PRI RJEŠAVANJU STAMBENOG PITANJA MLADIH OBITELJI</w:t>
      </w:r>
      <w:r w:rsidR="007014D4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26.000,00 eura</w:t>
      </w:r>
    </w:p>
    <w:p w:rsidR="00747571" w:rsidRDefault="00F856B3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51DC1">
        <w:rPr>
          <w:rFonts w:ascii="Times New Roman" w:hAnsi="Times New Roman" w:cs="Times New Roman"/>
          <w:color w:val="000000" w:themeColor="text1"/>
          <w:sz w:val="24"/>
          <w:szCs w:val="24"/>
        </w:rPr>
        <w:t>ktivnost A300907 NAKNADA ZA NOVOROĐENČAD</w:t>
      </w:r>
      <w:r w:rsidR="007014D4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19.900,00 eura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A300906 POMOĆ STUDENTIMA</w:t>
      </w:r>
      <w:r w:rsidR="007014D4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7.300,00 eura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A300903 NABAVA UDŽBENIKA</w:t>
      </w:r>
      <w:r w:rsidR="007014D4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19.900,00 eura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Aktivnost A300902 SUFINANCIRANJE TROŠKOVA PRIJEVOZA </w:t>
      </w:r>
      <w:r w:rsidR="007014D4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13.300,00 eura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A300901 SUFINANCIRANJE SMJEŠTAJA U UČENIČKIM DOMOVIMA</w:t>
      </w:r>
      <w:r w:rsidR="007014D4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6.000,00 eura</w:t>
      </w:r>
    </w:p>
    <w:p w:rsidR="007014D4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3008 OSNOVNO I SREDNJOŠKOLSKO OBRAZOVANJE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A300801 ODRŽAVANJE ŠKOLSKIH OBJEKATA</w:t>
      </w:r>
    </w:p>
    <w:p w:rsidR="002C6427" w:rsidRPr="002C6427" w:rsidRDefault="002C6427" w:rsidP="002C64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Planirana u iznosu od 10.000,00 eura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3007 RAZVOJ I UPRAVLJANJE SUSTAVA VODOOPSKRBE, ODVODNJE I ZAŠTITE VODA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Kapitalni projekt K300701 KANALIZACIJA</w:t>
      </w:r>
    </w:p>
    <w:p w:rsidR="002C6427" w:rsidRPr="002C6427" w:rsidRDefault="002C6427" w:rsidP="002C64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ovom programu za kanalizaciju izdvajamo 25.000,00 eura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3006 SOCIJALNA SKRB</w:t>
      </w:r>
    </w:p>
    <w:p w:rsidR="002C6427" w:rsidRDefault="002C6427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Planirana u iznosu od 23.900,00 eura a raspoređuje se na sljedeće aktivnosti</w:t>
      </w:r>
      <w:r w:rsidR="0046757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Aktivnost A300604 POMOĆ POJEDNICIMA I OBITELJIMA</w:t>
      </w:r>
      <w:r w:rsidR="0046757A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od 4.000,00 eura</w:t>
      </w:r>
    </w:p>
    <w:p w:rsidR="00D51DC1" w:rsidRDefault="00D51DC1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A300602 PRIGODNI DAROVI UMIROVLJENICIMA</w:t>
      </w:r>
      <w:r w:rsidR="00C029A0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19.900,00 eura</w:t>
      </w:r>
    </w:p>
    <w:p w:rsidR="00D51DC1" w:rsidRDefault="00202204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3005 RAZVOJ SPORTA I REKREACIJE </w:t>
      </w:r>
    </w:p>
    <w:p w:rsidR="00C029A0" w:rsidRDefault="00C029A0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Planirana u iznosu 291.400,00 eura, a raspoređuje se na sljedeće aktvnosti:</w:t>
      </w:r>
    </w:p>
    <w:p w:rsidR="00202204" w:rsidRDefault="00202204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Tekući projekt T300503 ŠPO</w:t>
      </w:r>
      <w:r w:rsidR="00B4364F">
        <w:rPr>
          <w:rFonts w:ascii="Times New Roman" w:hAnsi="Times New Roman" w:cs="Times New Roman"/>
          <w:color w:val="000000" w:themeColor="text1"/>
          <w:sz w:val="24"/>
          <w:szCs w:val="24"/>
        </w:rPr>
        <w:t>RTSKO REKREACIJSKA ZONA „PLOSNA“ KUNIŠINCI</w:t>
      </w:r>
      <w:r w:rsidR="00C029A0">
        <w:rPr>
          <w:rFonts w:ascii="Times New Roman" w:hAnsi="Times New Roman" w:cs="Times New Roman"/>
          <w:color w:val="000000" w:themeColor="text1"/>
          <w:sz w:val="24"/>
          <w:szCs w:val="24"/>
        </w:rPr>
        <w:t>, planiran u iznosu 15.000,00 eura</w:t>
      </w:r>
    </w:p>
    <w:p w:rsidR="00B4364F" w:rsidRDefault="00B4364F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Tekući projekt T300502 SPORTSKO REKREACIJSKI I SLIČNI OBJEKTI</w:t>
      </w:r>
      <w:r w:rsidR="00C029A0">
        <w:rPr>
          <w:rFonts w:ascii="Times New Roman" w:hAnsi="Times New Roman" w:cs="Times New Roman"/>
          <w:color w:val="000000" w:themeColor="text1"/>
          <w:sz w:val="24"/>
          <w:szCs w:val="24"/>
        </w:rPr>
        <w:t>, planiran u iznosu 10.000,00 eura</w:t>
      </w:r>
    </w:p>
    <w:p w:rsidR="00B4364F" w:rsidRDefault="00B4364F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Kapitalni projekt K300501 SPORTSKO REKREACIJSKI CENTAR MARIJANCI</w:t>
      </w:r>
      <w:r w:rsidR="00B065F0">
        <w:rPr>
          <w:rFonts w:ascii="Times New Roman" w:hAnsi="Times New Roman" w:cs="Times New Roman"/>
          <w:color w:val="000000" w:themeColor="text1"/>
          <w:sz w:val="24"/>
          <w:szCs w:val="24"/>
        </w:rPr>
        <w:t>, planiran u iznosu 202.400,00 eura</w:t>
      </w:r>
    </w:p>
    <w:p w:rsidR="00B4364F" w:rsidRDefault="00B4364F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A300502 OPREMANJE I ODRŽAVANJE DJEČJIH IGRALIŠTA</w:t>
      </w:r>
      <w:r w:rsidR="00B065F0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3.000,00 eura</w:t>
      </w:r>
    </w:p>
    <w:p w:rsidR="00B4364F" w:rsidRDefault="00B4364F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A300501 SUFINANCIRANJE SPORTSKIH UDRUGA</w:t>
      </w:r>
      <w:r w:rsidR="005E567B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61.000,00 eura</w:t>
      </w:r>
    </w:p>
    <w:p w:rsidR="005E567B" w:rsidRDefault="00B4364F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3004 KULTURA I DRUŠTVENE DJELATNOSTI</w:t>
      </w:r>
    </w:p>
    <w:p w:rsidR="00B4364F" w:rsidRDefault="00B4364F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Aktovnost S300401 SUFINANCIRANJE UDRUGA IZ KULTURE I DRUŠTVENIH DJLATNOSTI</w:t>
      </w:r>
    </w:p>
    <w:p w:rsidR="009E547A" w:rsidRDefault="009E547A" w:rsidP="009E547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Planirana u iznosu od 22.000,00 eura</w:t>
      </w:r>
    </w:p>
    <w:p w:rsidR="00D4275B" w:rsidRPr="00D4275B" w:rsidRDefault="00D4275B" w:rsidP="00D427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Programima 3005-3004 su obuhvaćeni rashodi za redovan rad udruga. Cilj ovoga programa je okupljanje mještana, posebno mladih putem udruga koje se bave kulturom, umjetnošću, sportom, glazbom. Poticanje kulturnog i umjetničkog stvaralaštva.</w:t>
      </w:r>
    </w:p>
    <w:p w:rsidR="000742B6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3003 POVRATI ZAJMOVA</w:t>
      </w:r>
    </w:p>
    <w:p w:rsidR="000742B6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A300301 OTPLATA ZAJMOVA</w:t>
      </w:r>
    </w:p>
    <w:p w:rsidR="00D4275B" w:rsidRPr="00D4275B" w:rsidRDefault="00D4275B" w:rsidP="00D4275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povrat zajmova izdvaja se 178.000</w:t>
      </w:r>
      <w:r w:rsidR="002F0A5E">
        <w:rPr>
          <w:rFonts w:ascii="Times New Roman" w:hAnsi="Times New Roman" w:cs="Times New Roman"/>
          <w:color w:val="000000" w:themeColor="text1"/>
          <w:sz w:val="24"/>
          <w:szCs w:val="24"/>
        </w:rPr>
        <w:t>,00 eura</w:t>
      </w:r>
    </w:p>
    <w:p w:rsidR="000742B6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3002 POTICANJE RAZVOJA POLJOPRIVREDE I GOSPODARSTVA</w:t>
      </w:r>
    </w:p>
    <w:p w:rsidR="002F0A5E" w:rsidRDefault="00E7388F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Planiran u iznosu  77.000,00 eura, a raspoređuje se na sljedeće aktivnosti:</w:t>
      </w:r>
    </w:p>
    <w:p w:rsidR="000742B6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Kapitalni projekt K300201 INFRASTRUKTURA U PODUZETNIČKOJ ZONI</w:t>
      </w:r>
      <w:r w:rsidR="00E7388F">
        <w:rPr>
          <w:rFonts w:ascii="Times New Roman" w:hAnsi="Times New Roman" w:cs="Times New Roman"/>
          <w:color w:val="000000" w:themeColor="text1"/>
          <w:sz w:val="24"/>
          <w:szCs w:val="24"/>
        </w:rPr>
        <w:t>,  planiran</w:t>
      </w:r>
      <w:r w:rsidR="00725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25.000,00 eura</w:t>
      </w:r>
    </w:p>
    <w:p w:rsidR="000742B6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A300203 POTPORE OBRTNICIMA</w:t>
      </w:r>
      <w:r w:rsidR="00725F26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7.000,00 eura</w:t>
      </w:r>
    </w:p>
    <w:p w:rsidR="000742B6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A300201 SUFINANCIRANJE U POLJOPRIVREDI</w:t>
      </w:r>
      <w:r w:rsidR="00725F26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45.000,00 eura</w:t>
      </w:r>
    </w:p>
    <w:p w:rsidR="000742B6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PORGRAM 3001 UPRAVLJANJE IMOVINOM</w:t>
      </w:r>
    </w:p>
    <w:p w:rsidR="00725F26" w:rsidRDefault="00725F2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Planiran je u iznosu 81.000,00 eura, a raspoređuje se na sljedeće aktivnosti:</w:t>
      </w:r>
    </w:p>
    <w:p w:rsidR="000742B6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A300102 ODRŽAVANJE ZGRADA I REDOVIO KORIŠTENJE</w:t>
      </w:r>
      <w:r w:rsidR="00725F26">
        <w:rPr>
          <w:rFonts w:ascii="Times New Roman" w:hAnsi="Times New Roman" w:cs="Times New Roman"/>
          <w:color w:val="000000" w:themeColor="text1"/>
          <w:sz w:val="24"/>
          <w:szCs w:val="24"/>
        </w:rPr>
        <w:t>, planirna u iznosu 29.500,00</w:t>
      </w:r>
    </w:p>
    <w:p w:rsidR="000742B6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 A300101 MATERIJALNI RASHODI I USLUGE</w:t>
      </w:r>
      <w:r w:rsidR="00725F26">
        <w:rPr>
          <w:rFonts w:ascii="Times New Roman" w:hAnsi="Times New Roman" w:cs="Times New Roman"/>
          <w:color w:val="000000" w:themeColor="text1"/>
          <w:sz w:val="24"/>
          <w:szCs w:val="24"/>
        </w:rPr>
        <w:t>, planirana u iznosu 51.500,00 eura</w:t>
      </w:r>
    </w:p>
    <w:p w:rsidR="000742B6" w:rsidRPr="000A6BEE" w:rsidRDefault="000742B6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807" w:rsidRPr="003E349C" w:rsidRDefault="001F2807" w:rsidP="00EA4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2807" w:rsidRPr="003E349C" w:rsidSect="00C808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2DA7"/>
    <w:multiLevelType w:val="hybridMultilevel"/>
    <w:tmpl w:val="08E0E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12542"/>
    <w:multiLevelType w:val="hybridMultilevel"/>
    <w:tmpl w:val="FF62F9CE"/>
    <w:lvl w:ilvl="0" w:tplc="5C769D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934491"/>
    <w:multiLevelType w:val="multilevel"/>
    <w:tmpl w:val="67BE7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81370F3"/>
    <w:multiLevelType w:val="multilevel"/>
    <w:tmpl w:val="CEFAF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8"/>
    <w:rsid w:val="00057350"/>
    <w:rsid w:val="000742B6"/>
    <w:rsid w:val="00085780"/>
    <w:rsid w:val="000A6BEE"/>
    <w:rsid w:val="0017096F"/>
    <w:rsid w:val="001E2363"/>
    <w:rsid w:val="001F2807"/>
    <w:rsid w:val="00202204"/>
    <w:rsid w:val="002247EB"/>
    <w:rsid w:val="00232C4A"/>
    <w:rsid w:val="002C2883"/>
    <w:rsid w:val="002C6427"/>
    <w:rsid w:val="002D5250"/>
    <w:rsid w:val="002E0525"/>
    <w:rsid w:val="002F0A5E"/>
    <w:rsid w:val="002F15CE"/>
    <w:rsid w:val="00320692"/>
    <w:rsid w:val="00325DB6"/>
    <w:rsid w:val="00336848"/>
    <w:rsid w:val="003544F2"/>
    <w:rsid w:val="00361C7F"/>
    <w:rsid w:val="00391CE5"/>
    <w:rsid w:val="003922C2"/>
    <w:rsid w:val="003E349C"/>
    <w:rsid w:val="00402D5F"/>
    <w:rsid w:val="004033DF"/>
    <w:rsid w:val="0046757A"/>
    <w:rsid w:val="004777FA"/>
    <w:rsid w:val="004F3A0E"/>
    <w:rsid w:val="00530F13"/>
    <w:rsid w:val="00577F16"/>
    <w:rsid w:val="005E567B"/>
    <w:rsid w:val="0067184E"/>
    <w:rsid w:val="00681D8F"/>
    <w:rsid w:val="006D0B32"/>
    <w:rsid w:val="006D7E9B"/>
    <w:rsid w:val="007014D4"/>
    <w:rsid w:val="0070232A"/>
    <w:rsid w:val="00725F26"/>
    <w:rsid w:val="007368FD"/>
    <w:rsid w:val="00747571"/>
    <w:rsid w:val="00855141"/>
    <w:rsid w:val="008819C0"/>
    <w:rsid w:val="00940234"/>
    <w:rsid w:val="00992491"/>
    <w:rsid w:val="009A5504"/>
    <w:rsid w:val="009B4955"/>
    <w:rsid w:val="009E547A"/>
    <w:rsid w:val="00A602AA"/>
    <w:rsid w:val="00A74B57"/>
    <w:rsid w:val="00A84D4C"/>
    <w:rsid w:val="00AF3AF1"/>
    <w:rsid w:val="00B065F0"/>
    <w:rsid w:val="00B316C5"/>
    <w:rsid w:val="00B4364F"/>
    <w:rsid w:val="00B5674B"/>
    <w:rsid w:val="00BB3834"/>
    <w:rsid w:val="00C029A0"/>
    <w:rsid w:val="00C339FC"/>
    <w:rsid w:val="00C61D39"/>
    <w:rsid w:val="00C8082B"/>
    <w:rsid w:val="00C914B4"/>
    <w:rsid w:val="00CB28BA"/>
    <w:rsid w:val="00CB7A7A"/>
    <w:rsid w:val="00CF4947"/>
    <w:rsid w:val="00D4275B"/>
    <w:rsid w:val="00D50F0A"/>
    <w:rsid w:val="00D51DC1"/>
    <w:rsid w:val="00D71B9F"/>
    <w:rsid w:val="00D73A66"/>
    <w:rsid w:val="00D953F0"/>
    <w:rsid w:val="00E7388F"/>
    <w:rsid w:val="00E77C8C"/>
    <w:rsid w:val="00E93639"/>
    <w:rsid w:val="00E9682A"/>
    <w:rsid w:val="00EA3CE8"/>
    <w:rsid w:val="00EA48AA"/>
    <w:rsid w:val="00EE6304"/>
    <w:rsid w:val="00F13786"/>
    <w:rsid w:val="00F2222C"/>
    <w:rsid w:val="00F638BF"/>
    <w:rsid w:val="00F856B3"/>
    <w:rsid w:val="00FB0E18"/>
    <w:rsid w:val="00FC3338"/>
    <w:rsid w:val="00FD1764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A6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A6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7295-C92A-430C-8A6D-2338625B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12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89</cp:revision>
  <cp:lastPrinted>2024-10-25T09:59:00Z</cp:lastPrinted>
  <dcterms:created xsi:type="dcterms:W3CDTF">2024-10-18T08:41:00Z</dcterms:created>
  <dcterms:modified xsi:type="dcterms:W3CDTF">2024-10-25T10:23:00Z</dcterms:modified>
</cp:coreProperties>
</file>